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641F" w14:textId="77777777" w:rsidR="004B5D07" w:rsidRPr="004B5D07" w:rsidRDefault="004B5D07" w:rsidP="004B5D07">
      <w:pPr>
        <w:spacing w:after="270" w:line="288" w:lineRule="atLeast"/>
        <w:jc w:val="center"/>
        <w:outlineLvl w:val="0"/>
        <w:rPr>
          <w:rFonts w:ascii="Fjalla One" w:eastAsia="Times New Roman" w:hAnsi="Fjalla One" w:cs="Times New Roman"/>
          <w:color w:val="000000"/>
          <w:spacing w:val="2"/>
          <w:kern w:val="36"/>
          <w:sz w:val="81"/>
          <w:szCs w:val="81"/>
        </w:rPr>
      </w:pPr>
      <w:r w:rsidRPr="004B5D07">
        <w:rPr>
          <w:rFonts w:ascii="Fjalla One" w:eastAsia="Times New Roman" w:hAnsi="Fjalla One" w:cs="Times New Roman"/>
          <w:color w:val="000000"/>
          <w:spacing w:val="2"/>
          <w:kern w:val="36"/>
          <w:sz w:val="81"/>
          <w:szCs w:val="81"/>
        </w:rPr>
        <w:t>Response to University of Pittsburgh Report on Livability of African Americans in Pittsburgh</w:t>
      </w:r>
    </w:p>
    <w:p w14:paraId="0AF3E41D" w14:textId="77777777" w:rsidR="004B5D07" w:rsidRPr="004B5D07" w:rsidRDefault="004B5D07" w:rsidP="004B5D07">
      <w:pPr>
        <w:numPr>
          <w:ilvl w:val="0"/>
          <w:numId w:val="1"/>
        </w:numPr>
        <w:spacing w:before="120" w:after="120"/>
        <w:ind w:left="465"/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</w:pPr>
      <w:hyperlink r:id="rId5" w:history="1">
        <w:r w:rsidRPr="004B5D07">
          <w:rPr>
            <w:rFonts w:ascii="Work Sans" w:eastAsia="Times New Roman" w:hAnsi="Work Sans" w:cs="Times New Roman"/>
            <w:color w:val="CB1014"/>
            <w:spacing w:val="21"/>
            <w:sz w:val="35"/>
            <w:szCs w:val="35"/>
            <w:u w:val="single"/>
          </w:rPr>
          <w:t>Letter</w:t>
        </w:r>
      </w:hyperlink>
      <w:r w:rsidRPr="004B5D07"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  <w:t>: B-PEP Chairman &amp;amp; CEO Tim Stevens Responds to the University of Pittsburgh Report on the Livability of African Americans in Pittsburgh when compared to 90 other U.S. Cities</w:t>
      </w:r>
    </w:p>
    <w:p w14:paraId="4982E0C3" w14:textId="77777777" w:rsidR="004B5D07" w:rsidRPr="004B5D07" w:rsidRDefault="004B5D07" w:rsidP="004B5D07">
      <w:pPr>
        <w:numPr>
          <w:ilvl w:val="0"/>
          <w:numId w:val="1"/>
        </w:numPr>
        <w:spacing w:before="120" w:after="120"/>
        <w:ind w:left="465"/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</w:pPr>
      <w:hyperlink r:id="rId6" w:history="1">
        <w:r w:rsidRPr="004B5D07">
          <w:rPr>
            <w:rFonts w:ascii="Work Sans" w:eastAsia="Times New Roman" w:hAnsi="Work Sans" w:cs="Times New Roman"/>
            <w:color w:val="CB1014"/>
            <w:spacing w:val="21"/>
            <w:sz w:val="35"/>
            <w:szCs w:val="35"/>
            <w:u w:val="single"/>
          </w:rPr>
          <w:t>Report</w:t>
        </w:r>
      </w:hyperlink>
      <w:r w:rsidRPr="004B5D07"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  <w:t>: CORPORATE EQUITY AND INCLUSION ROUNDTABLE: “Resetting the Commitment – Going from Well Meaning to Well Doing”</w:t>
      </w:r>
    </w:p>
    <w:p w14:paraId="3CF56378" w14:textId="77777777" w:rsidR="004B5D07" w:rsidRPr="004B5D07" w:rsidRDefault="004B5D07" w:rsidP="004B5D07">
      <w:pPr>
        <w:numPr>
          <w:ilvl w:val="0"/>
          <w:numId w:val="1"/>
        </w:numPr>
        <w:spacing w:before="120" w:after="120"/>
        <w:ind w:left="465"/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</w:pPr>
      <w:hyperlink r:id="rId7" w:history="1">
        <w:r w:rsidRPr="004B5D07">
          <w:rPr>
            <w:rFonts w:ascii="Work Sans" w:eastAsia="Times New Roman" w:hAnsi="Work Sans" w:cs="Times New Roman"/>
            <w:color w:val="CB1014"/>
            <w:spacing w:val="21"/>
            <w:sz w:val="35"/>
            <w:szCs w:val="35"/>
            <w:u w:val="single"/>
          </w:rPr>
          <w:t>Report Summary</w:t>
        </w:r>
      </w:hyperlink>
      <w:r w:rsidRPr="004B5D07"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  <w:t>: The Three (3) MAJOR REQUESTS Of the Corporate Equity &amp;amp; Inclusion Roundtable (CEIR)</w:t>
      </w:r>
    </w:p>
    <w:p w14:paraId="2CF5C923" w14:textId="77777777" w:rsidR="004B5D07" w:rsidRPr="004B5D07" w:rsidRDefault="004B5D07" w:rsidP="004B5D07">
      <w:pPr>
        <w:spacing w:after="100" w:afterAutospacing="1"/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</w:pPr>
      <w:r w:rsidRPr="004B5D07"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  <w:t>ADOPTION of the CEIR “Comprehensive Rooney Rule – With Results”.</w:t>
      </w:r>
    </w:p>
    <w:p w14:paraId="6C3215AF" w14:textId="77777777" w:rsidR="004B5D07" w:rsidRPr="004B5D07" w:rsidRDefault="004B5D07" w:rsidP="004B5D07">
      <w:pPr>
        <w:spacing w:before="100" w:beforeAutospacing="1" w:after="100" w:afterAutospacing="1"/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</w:pPr>
      <w:r w:rsidRPr="004B5D07"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  <w:t>ADOPTING “Ban the Box”, or some form thereof.</w:t>
      </w:r>
    </w:p>
    <w:p w14:paraId="5876CFD6" w14:textId="77777777" w:rsidR="004B5D07" w:rsidRPr="004B5D07" w:rsidRDefault="004B5D07" w:rsidP="004B5D07">
      <w:pPr>
        <w:spacing w:before="100" w:beforeAutospacing="1"/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</w:pPr>
      <w:r w:rsidRPr="004B5D07">
        <w:rPr>
          <w:rFonts w:ascii="Work Sans" w:eastAsia="Times New Roman" w:hAnsi="Work Sans" w:cs="Times New Roman"/>
          <w:color w:val="000000"/>
          <w:spacing w:val="21"/>
          <w:sz w:val="35"/>
          <w:szCs w:val="35"/>
        </w:rPr>
        <w:t>AGREEING to review, adopt and implement, in an ongoing fashion, the CEIR Executive Summary and the CEIR Initiative for Diversity, Equity &amp;amp; Inclusion, or some form thereof.</w:t>
      </w:r>
    </w:p>
    <w:p w14:paraId="180286D0" w14:textId="77777777" w:rsidR="004B5D07" w:rsidRDefault="004B5D07"/>
    <w:sectPr w:rsidR="004B5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alla One">
    <w:altName w:val="Cambria"/>
    <w:panose1 w:val="020B0604020202020204"/>
    <w:charset w:val="00"/>
    <w:family w:val="roman"/>
    <w:notTrueType/>
    <w:pitch w:val="default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14B"/>
    <w:multiLevelType w:val="multilevel"/>
    <w:tmpl w:val="7FD2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07"/>
    <w:rsid w:val="004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D398D"/>
  <w15:chartTrackingRefBased/>
  <w15:docId w15:val="{44D6C941-FA7B-0041-B693-7415CB1F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5D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B5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41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31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4095">
                              <w:blockQuote w:val="1"/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DDDDDD"/>
                                <w:left w:val="single" w:sz="6" w:space="19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pep-web-8z5h.squarespace.com/s/CEIR-The-Three-Major-Requests-of-the-CEIR-Augusr-29-20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pep-web-8z5h.squarespace.com/s/CEIR-Summary-Initiative-Combined-Document-07-25-19-1.pdf" TargetMode="External"/><Relationship Id="rId5" Type="http://schemas.openxmlformats.org/officeDocument/2006/relationships/hyperlink" Target="https://bpep-web-8z5h.squarespace.com/s/Press-Release-Tim-Stevens-B-PEP-Chair-CEO-Responds-to-the-Univ-of-Pittsburgh-Report-on-Blacks-Oct-2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 Roberts</dc:creator>
  <cp:keywords/>
  <dc:description/>
  <cp:lastModifiedBy>Sadik Roberts</cp:lastModifiedBy>
  <cp:revision>1</cp:revision>
  <dcterms:created xsi:type="dcterms:W3CDTF">2021-10-12T18:07:00Z</dcterms:created>
  <dcterms:modified xsi:type="dcterms:W3CDTF">2021-10-12T18:07:00Z</dcterms:modified>
</cp:coreProperties>
</file>